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985A">
      <w:pPr>
        <w:widowControl/>
        <w:spacing w:line="660" w:lineRule="exact"/>
        <w:jc w:val="center"/>
        <w:rPr>
          <w:rFonts w:ascii="Times New Roman" w:hAnsi="Times New Roman" w:eastAsia="方正公文小标宋" w:cs="Times New Roman"/>
          <w:color w:val="171717" w:themeColor="background2" w:themeShade="1A"/>
          <w:sz w:val="44"/>
          <w:szCs w:val="44"/>
        </w:rPr>
      </w:pPr>
      <w:r>
        <w:rPr>
          <w:rFonts w:ascii="Times New Roman" w:hAnsi="Times New Roman" w:eastAsia="方正公文小标宋" w:cs="Times New Roman"/>
          <w:color w:val="171717" w:themeColor="background2" w:themeShade="1A"/>
          <w:sz w:val="44"/>
          <w:szCs w:val="44"/>
        </w:rPr>
        <w:t>溧水区202</w:t>
      </w:r>
      <w:r>
        <w:rPr>
          <w:rFonts w:hint="eastAsia" w:ascii="Times New Roman" w:hAnsi="Times New Roman" w:eastAsia="方正公文小标宋" w:cs="Times New Roman"/>
          <w:color w:val="171717" w:themeColor="background2" w:themeShade="1A"/>
          <w:sz w:val="44"/>
          <w:szCs w:val="44"/>
        </w:rPr>
        <w:t>5</w:t>
      </w:r>
      <w:r>
        <w:rPr>
          <w:rFonts w:ascii="Times New Roman" w:hAnsi="Times New Roman" w:eastAsia="方正公文小标宋" w:cs="Times New Roman"/>
          <w:color w:val="171717" w:themeColor="background2" w:themeShade="1A"/>
          <w:sz w:val="44"/>
          <w:szCs w:val="44"/>
        </w:rPr>
        <w:t>年市级</w:t>
      </w:r>
      <w:r>
        <w:rPr>
          <w:rFonts w:hint="eastAsia" w:ascii="Times New Roman" w:hAnsi="Times New Roman" w:eastAsia="方正公文小标宋" w:cs="Times New Roman"/>
          <w:color w:val="171717" w:themeColor="background2" w:themeShade="1A"/>
          <w:sz w:val="44"/>
          <w:szCs w:val="44"/>
        </w:rPr>
        <w:t>第二批</w:t>
      </w:r>
      <w:r>
        <w:rPr>
          <w:rFonts w:hint="eastAsia" w:eastAsia="方正公文小标宋" w:cs="Times New Roman"/>
          <w:color w:val="0D0D0D"/>
          <w:sz w:val="44"/>
          <w:szCs w:val="44"/>
        </w:rPr>
        <w:t>现代农业发展专项</w:t>
      </w:r>
      <w:r>
        <w:rPr>
          <w:rFonts w:hint="eastAsia" w:ascii="Times New Roman" w:hAnsi="Times New Roman" w:eastAsia="方正公文小标宋" w:cs="Times New Roman"/>
          <w:color w:val="171717" w:themeColor="background2" w:themeShade="1A"/>
          <w:sz w:val="44"/>
          <w:szCs w:val="44"/>
        </w:rPr>
        <w:t>专项——</w:t>
      </w:r>
      <w:r>
        <w:rPr>
          <w:rFonts w:ascii="Times New Roman" w:hAnsi="Times New Roman" w:eastAsia="方正公文小标宋" w:cs="Times New Roman"/>
          <w:color w:val="171717" w:themeColor="background2" w:themeShade="1A"/>
          <w:sz w:val="44"/>
          <w:szCs w:val="44"/>
        </w:rPr>
        <w:t>创意休闲农业项目申报指南</w:t>
      </w:r>
    </w:p>
    <w:p w14:paraId="6003EF2E">
      <w:pPr>
        <w:spacing w:line="590" w:lineRule="exact"/>
        <w:rPr>
          <w:rFonts w:ascii="Times New Roman" w:hAnsi="Times New Roman" w:eastAsia="仿宋_GB2312" w:cs="Times New Roman"/>
          <w:color w:val="171717" w:themeColor="background2" w:themeShade="1A"/>
          <w:sz w:val="32"/>
          <w:szCs w:val="32"/>
        </w:rPr>
      </w:pPr>
    </w:p>
    <w:p w14:paraId="12F31EC8">
      <w:pPr>
        <w:spacing w:line="590" w:lineRule="exact"/>
        <w:ind w:firstLine="640" w:firstLineChars="200"/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为推进实施乡村振兴战略，围绕我区现代都市农业发展总体规划定位，大力发展“高产业融合、高文化品味、高科技水平，高附加值”的创意休闲农业，加快农业与旅游、文化、教育、体育、健康等产业深度融合，不断丰富“休闲农业+”内涵，特制定溧水区202</w:t>
      </w:r>
      <w:r>
        <w:rPr>
          <w:rFonts w:hint="eastAsia"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5</w:t>
      </w: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年市级</w:t>
      </w:r>
      <w:r>
        <w:rPr>
          <w:rFonts w:hint="eastAsia"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第二批现代农业发展专项——</w:t>
      </w: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创意休闲农业项目申报指南。</w:t>
      </w:r>
    </w:p>
    <w:p w14:paraId="6E823291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黑体" w:cs="Times New Roman"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黑体" w:cs="Times New Roman"/>
          <w:bCs/>
          <w:color w:val="171717" w:themeColor="background2" w:themeShade="1A"/>
          <w:sz w:val="32"/>
          <w:szCs w:val="32"/>
        </w:rPr>
        <w:t>一、目标任务</w:t>
      </w:r>
    </w:p>
    <w:p w14:paraId="0309F381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突出主题性，围绕“农”字主线，向文化、艺术、教育、体育、健康等其他领域拓展延伸；体现创意性，有文化内涵，在行业内创新程度高，做到人无我有，人有我优，人优我特；注重体验性，强化项目的互动性、趣味性、科学性、教育性，延长游客逗留时间，激发游客消费；避免同质化，扶持项目主题定位要结合当地产业特点及人文环境，做到差异化、品质化、特色化。</w:t>
      </w:r>
    </w:p>
    <w:p w14:paraId="46BD5849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黑体" w:cs="Times New Roman"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黑体" w:cs="Times New Roman"/>
          <w:bCs/>
          <w:color w:val="171717" w:themeColor="background2" w:themeShade="1A"/>
          <w:sz w:val="32"/>
          <w:szCs w:val="32"/>
        </w:rPr>
        <w:t>二、支持环节</w:t>
      </w:r>
    </w:p>
    <w:p w14:paraId="090DE4AC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楷体" w:cs="Times New Roman"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楷体" w:cs="Times New Roman"/>
          <w:bCs/>
          <w:color w:val="171717" w:themeColor="background2" w:themeShade="1A"/>
          <w:sz w:val="32"/>
          <w:szCs w:val="32"/>
        </w:rPr>
        <w:t>（一）支持主体（包括但不限于）</w:t>
      </w:r>
    </w:p>
    <w:p w14:paraId="6B6BFB20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各镇街、社区（村委会）、休闲农业主题园区、特色农庄等休闲农业景点建设运营的新型农业经营主体、集体经济组织等。</w:t>
      </w:r>
    </w:p>
    <w:p w14:paraId="6DB03721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楷体" w:cs="Times New Roman"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楷体" w:cs="Times New Roman"/>
          <w:bCs/>
          <w:color w:val="171717" w:themeColor="background2" w:themeShade="1A"/>
          <w:sz w:val="32"/>
          <w:szCs w:val="32"/>
        </w:rPr>
        <w:t>（二）支持内容</w:t>
      </w:r>
    </w:p>
    <w:p w14:paraId="40324B95">
      <w:pPr>
        <w:tabs>
          <w:tab w:val="left" w:pos="7513"/>
          <w:tab w:val="left" w:pos="7655"/>
        </w:tabs>
        <w:spacing w:line="590" w:lineRule="exact"/>
        <w:ind w:firstLine="641" w:firstLineChars="200"/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仿宋" w:cs="Times New Roman"/>
          <w:b/>
          <w:color w:val="171717" w:themeColor="background2" w:themeShade="1A"/>
          <w:sz w:val="32"/>
          <w:szCs w:val="32"/>
        </w:rPr>
        <w:t>1.主题创意农园：</w:t>
      </w: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支持休闲农业景点建设与农业产业特色相符合的休闲农业创意设施，优先支持主题突出，产业兴旺，特色鲜明，游客喜爱的休闲农业景点。支持农业+旅游、教育、文化、艺术、体育、健康等产业深度融合，扶持农业主题园区、特色农庄等围绕创意休闲农业生产、生活、生态等相关设施建造，打造主题创意农园。如：创意农耕文化园、农业主题博物馆、农业科普体验园、果蔬主题农园、休闲渔场、农业养生馆等。设施建设中涉及土地等需出具相关单位的证明。项目总投资不得少于60万元，市级财政补助资金</w:t>
      </w:r>
      <w:r>
        <w:rPr>
          <w:rFonts w:hint="eastAsia"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比例</w:t>
      </w: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不超过总投资50%。</w:t>
      </w:r>
    </w:p>
    <w:p w14:paraId="0A402B93">
      <w:pPr>
        <w:pStyle w:val="4"/>
        <w:spacing w:before="0" w:beforeAutospacing="0" w:after="0" w:afterAutospacing="0" w:line="590" w:lineRule="exact"/>
        <w:ind w:firstLine="641" w:firstLineChars="200"/>
      </w:pPr>
      <w:r>
        <w:rPr>
          <w:rFonts w:ascii="Times New Roman" w:hAnsi="Times New Roman" w:eastAsia="方正公文仿宋" w:cs="Times New Roman"/>
          <w:b/>
          <w:color w:val="171717" w:themeColor="background2" w:themeShade="1A"/>
          <w:sz w:val="32"/>
        </w:rPr>
        <w:t>2.</w:t>
      </w:r>
      <w:r>
        <w:rPr>
          <w:rFonts w:hint="eastAsia" w:ascii="Times New Roman" w:hAnsi="Times New Roman" w:eastAsia="方正公文仿宋" w:cs="Times New Roman"/>
          <w:b/>
          <w:bCs/>
          <w:color w:val="171717" w:themeColor="background2" w:themeShade="1A"/>
          <w:kern w:val="2"/>
          <w:sz w:val="32"/>
        </w:rPr>
        <w:t>共享小院入围奖补</w:t>
      </w:r>
      <w:r>
        <w:rPr>
          <w:rFonts w:ascii="Times New Roman" w:hAnsi="Times New Roman" w:eastAsia="方正公文仿宋" w:cs="Times New Roman"/>
          <w:color w:val="171717" w:themeColor="background2" w:themeShade="1A"/>
          <w:kern w:val="2"/>
          <w:sz w:val="32"/>
        </w:rPr>
        <w:t>。</w:t>
      </w:r>
      <w:r>
        <w:rPr>
          <w:rFonts w:hint="eastAsia" w:ascii="Times New Roman" w:hAnsi="Times New Roman" w:eastAsia="方正公文仿宋" w:cs="Times New Roman"/>
          <w:color w:val="171717" w:themeColor="background2" w:themeShade="1A"/>
          <w:kern w:val="2"/>
          <w:sz w:val="32"/>
        </w:rPr>
        <w:t>2024年新认定南京市“莱斯乡村共享小院+”特色村项目先行试点村的每个村奖补30万。</w:t>
      </w:r>
    </w:p>
    <w:p w14:paraId="4A9BF9E0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黑体" w:cs="Times New Roman"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黑体" w:cs="Times New Roman"/>
          <w:bCs/>
          <w:color w:val="171717" w:themeColor="background2" w:themeShade="1A"/>
          <w:sz w:val="32"/>
          <w:szCs w:val="32"/>
        </w:rPr>
        <w:t>三、实施要求</w:t>
      </w:r>
    </w:p>
    <w:p w14:paraId="3932BF08">
      <w:pPr>
        <w:pStyle w:val="7"/>
        <w:spacing w:line="590" w:lineRule="exact"/>
        <w:ind w:firstLine="640"/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1.财政资金补助方式</w:t>
      </w:r>
      <w:r>
        <w:rPr>
          <w:rFonts w:hint="eastAsia"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均</w:t>
      </w: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为先建后补。</w:t>
      </w:r>
    </w:p>
    <w:p w14:paraId="60387225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2.项目的立项、实施、</w:t>
      </w:r>
      <w:bookmarkStart w:id="0" w:name="_GoBack"/>
      <w:bookmarkEnd w:id="0"/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验收等环节符合项目管理要求；项目相关制度健全；建设内容编制客观科学；资金使用范围合理。</w:t>
      </w:r>
    </w:p>
    <w:p w14:paraId="0034BFC4">
      <w:pPr>
        <w:tabs>
          <w:tab w:val="left" w:pos="7513"/>
          <w:tab w:val="left" w:pos="7655"/>
        </w:tabs>
        <w:spacing w:line="590" w:lineRule="exact"/>
        <w:ind w:firstLine="640" w:firstLineChars="200"/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</w:pPr>
      <w:r>
        <w:rPr>
          <w:rFonts w:ascii="Times New Roman" w:hAnsi="Times New Roman" w:eastAsia="方正公文仿宋" w:cs="Times New Roman"/>
          <w:color w:val="171717" w:themeColor="background2" w:themeShade="1A"/>
          <w:sz w:val="32"/>
          <w:szCs w:val="32"/>
        </w:rPr>
        <w:t>3.各镇（街）要加强对项目资金的管理，择优立项、规范管理，要严格财政资金用途，不得用于与此无关的支出，切实提高项目资金的使用效益，发挥项目资金在促进三产融合、推进乡村振兴等方面的作用，打造创意休闲农业精品，带动农业增效、农民增收、农村增绿。</w:t>
      </w:r>
    </w:p>
    <w:p w14:paraId="6F5D84CF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7F3950C-4EAC-47CE-AD97-E5B7FF7DD38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DF6F1D9-0940-45AA-979E-774F9C3764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A9B472-EAD0-4F12-AD5A-36CAE043EB6D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A354523-2EBC-4533-9039-45281D8899A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579FFF8-59B7-41EA-863B-7163DD0B5372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991215EC-C7B6-44C0-9A9A-03D76DCC68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D9072B"/>
    <w:rsid w:val="0001488E"/>
    <w:rsid w:val="00824EFA"/>
    <w:rsid w:val="00D354B2"/>
    <w:rsid w:val="00FB71C2"/>
    <w:rsid w:val="1F8639B3"/>
    <w:rsid w:val="4FD9072B"/>
    <w:rsid w:val="790277F5"/>
    <w:rsid w:val="7B42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937</Characters>
  <Lines>6</Lines>
  <Paragraphs>1</Paragraphs>
  <TotalTime>9</TotalTime>
  <ScaleCrop>false</ScaleCrop>
  <LinksUpToDate>false</LinksUpToDate>
  <CharactersWithSpaces>937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2025-07-15T07:10:00Z</dcterms:created>
  <dc:creator>铃铛儿</dc:creator>
  <cp:lastModifiedBy>梁珂</cp:lastModifiedBy>
  <dcterms:modified xsi:type="dcterms:W3CDTF">2025-07-22T02:22:18Z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7BB30E35C1A14ECBA96AAA8B5D00AEDD_11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